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8916" w14:textId="39F2E70F" w:rsidR="00A84907" w:rsidRPr="00A84907" w:rsidRDefault="00462A84" w:rsidP="00A84907">
      <w:pPr>
        <w:bidi/>
        <w:spacing w:before="120" w:after="120" w:line="360" w:lineRule="auto"/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קדמוניות - </w:t>
      </w:r>
      <w:r w:rsidR="00497D68" w:rsidRPr="00462A84">
        <w:rPr>
          <w:rFonts w:asciiTheme="minorBidi" w:hAnsiTheme="minorBidi"/>
          <w:b/>
          <w:bCs/>
          <w:rtl/>
        </w:rPr>
        <w:t>הנחיות למחברים</w:t>
      </w:r>
    </w:p>
    <w:p w14:paraId="60D24FF9" w14:textId="7362C6C1" w:rsidR="00497D68" w:rsidRPr="00462A84" w:rsidRDefault="00497D68" w:rsidP="00462A84">
      <w:pPr>
        <w:bidi/>
        <w:spacing w:before="120" w:after="120" w:line="360" w:lineRule="auto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>כתב העת קדמוניות, כתב עת לעתיקות ארץ-ישראל וארצות המקרא הפונה הן לקהילה המדעית והן לקהל הרחב, מעוניין לקבל מאמרים המדווחים על חפירות או ממצאים מעניינים וכן מאמרים נושאיים</w:t>
      </w:r>
      <w:r w:rsidR="00E672E9" w:rsidRPr="00462A84">
        <w:rPr>
          <w:rFonts w:asciiTheme="minorBidi" w:hAnsiTheme="minorBidi"/>
          <w:rtl/>
        </w:rPr>
        <w:t xml:space="preserve"> </w:t>
      </w:r>
      <w:r w:rsidRPr="00462A84">
        <w:rPr>
          <w:rFonts w:asciiTheme="minorBidi" w:hAnsiTheme="minorBidi"/>
          <w:rtl/>
        </w:rPr>
        <w:t xml:space="preserve">המסכמים תופעות או מדווחים על מחקרים חדשים </w:t>
      </w:r>
      <w:r w:rsidR="00A01AD6">
        <w:rPr>
          <w:rFonts w:asciiTheme="minorBidi" w:hAnsiTheme="minorBidi" w:hint="cs"/>
          <w:rtl/>
        </w:rPr>
        <w:t>בנושאים בעלי עניין</w:t>
      </w:r>
      <w:r w:rsidRPr="00462A84">
        <w:rPr>
          <w:rFonts w:asciiTheme="minorBidi" w:hAnsiTheme="minorBidi"/>
          <w:rtl/>
        </w:rPr>
        <w:t>.</w:t>
      </w:r>
    </w:p>
    <w:p w14:paraId="479AE064" w14:textId="5C033FE7" w:rsidR="00206332" w:rsidRDefault="00497D68" w:rsidP="00462A84">
      <w:pPr>
        <w:bidi/>
        <w:spacing w:before="120" w:after="120" w:line="360" w:lineRule="auto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>המאמרים צריכים להיות חדשניים</w:t>
      </w:r>
      <w:r w:rsidR="00462A84">
        <w:rPr>
          <w:rFonts w:asciiTheme="minorBidi" w:hAnsiTheme="minorBidi" w:hint="cs"/>
          <w:rtl/>
        </w:rPr>
        <w:t>, ולפנות לקהל מקצועי וחובב כאחד</w:t>
      </w:r>
      <w:r w:rsidRPr="00462A84">
        <w:rPr>
          <w:rFonts w:asciiTheme="minorBidi" w:hAnsiTheme="minorBidi"/>
          <w:rtl/>
        </w:rPr>
        <w:t>.</w:t>
      </w:r>
      <w:r w:rsidR="00D60233" w:rsidRPr="00462A84">
        <w:rPr>
          <w:rFonts w:asciiTheme="minorBidi" w:hAnsiTheme="minorBidi"/>
          <w:rtl/>
        </w:rPr>
        <w:t xml:space="preserve"> המאמרים יעברו הערכ</w:t>
      </w:r>
      <w:r w:rsidR="00AD73AD">
        <w:rPr>
          <w:rFonts w:asciiTheme="minorBidi" w:hAnsiTheme="minorBidi" w:hint="cs"/>
          <w:rtl/>
        </w:rPr>
        <w:t>ת עמיתים</w:t>
      </w:r>
      <w:r w:rsidR="00D60233" w:rsidRPr="00462A84">
        <w:rPr>
          <w:rFonts w:asciiTheme="minorBidi" w:hAnsiTheme="minorBidi"/>
          <w:rtl/>
        </w:rPr>
        <w:t>, והמערכת אינה מתחייבת לקבל את כתבי היד המוצעים.</w:t>
      </w:r>
      <w:r w:rsidRPr="00462A84">
        <w:rPr>
          <w:rFonts w:asciiTheme="minorBidi" w:hAnsiTheme="minorBidi"/>
          <w:rtl/>
        </w:rPr>
        <w:t xml:space="preserve"> </w:t>
      </w:r>
      <w:r w:rsidR="00AB7105">
        <w:rPr>
          <w:rFonts w:asciiTheme="minorBidi" w:hAnsiTheme="minorBidi" w:hint="cs"/>
          <w:rtl/>
        </w:rPr>
        <w:t>המאמרים שיתקבלו יעברו עריכה.</w:t>
      </w:r>
    </w:p>
    <w:p w14:paraId="7F52DD4B" w14:textId="19680BD6" w:rsidR="00D60233" w:rsidRPr="00462A84" w:rsidRDefault="00D13D11" w:rsidP="00206332">
      <w:pPr>
        <w:bidi/>
        <w:spacing w:before="120" w:after="12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במידת הצורך מומלץ לפנות לעורכים לפני ההגשה.</w:t>
      </w:r>
    </w:p>
    <w:p w14:paraId="29007E48" w14:textId="0D1CCC96" w:rsidR="00497D68" w:rsidRPr="00A74D46" w:rsidRDefault="00497D68" w:rsidP="00241E5F">
      <w:pPr>
        <w:pStyle w:val="ListParagraph"/>
        <w:numPr>
          <w:ilvl w:val="0"/>
          <w:numId w:val="3"/>
        </w:numPr>
        <w:bidi/>
        <w:spacing w:before="120" w:after="120" w:line="360" w:lineRule="auto"/>
        <w:rPr>
          <w:rtl/>
        </w:rPr>
      </w:pPr>
      <w:r w:rsidRPr="00A74D46">
        <w:rPr>
          <w:rtl/>
        </w:rPr>
        <w:t>מאמר טיפוסי יהיה באורך</w:t>
      </w:r>
      <w:r w:rsidRPr="00B40FAC">
        <w:rPr>
          <w:rFonts w:asciiTheme="minorBidi" w:hAnsiTheme="minorBidi"/>
          <w:rtl/>
        </w:rPr>
        <w:t xml:space="preserve"> של 3000</w:t>
      </w:r>
      <w:r w:rsidR="00A01AD6" w:rsidRPr="00B40FAC">
        <w:rPr>
          <w:rFonts w:asciiTheme="minorBidi" w:hAnsiTheme="minorBidi"/>
          <w:rtl/>
        </w:rPr>
        <w:t xml:space="preserve"> - </w:t>
      </w:r>
      <w:r w:rsidRPr="00B40FAC">
        <w:rPr>
          <w:rFonts w:asciiTheme="minorBidi" w:hAnsiTheme="minorBidi"/>
          <w:rtl/>
        </w:rPr>
        <w:t>6000 מילים,</w:t>
      </w:r>
      <w:r w:rsidR="00B23F75" w:rsidRPr="00B40FAC">
        <w:rPr>
          <w:rFonts w:asciiTheme="minorBidi" w:hAnsiTheme="minorBidi"/>
          <w:rtl/>
        </w:rPr>
        <w:t xml:space="preserve"> </w:t>
      </w:r>
      <w:r w:rsidR="00D60233" w:rsidRPr="00B40FAC">
        <w:rPr>
          <w:rFonts w:asciiTheme="minorBidi" w:hAnsiTheme="minorBidi"/>
          <w:rtl/>
        </w:rPr>
        <w:t>ועליו</w:t>
      </w:r>
      <w:r w:rsidRPr="00B40FAC">
        <w:rPr>
          <w:rFonts w:asciiTheme="minorBidi" w:hAnsiTheme="minorBidi"/>
          <w:rtl/>
        </w:rPr>
        <w:t xml:space="preserve"> להיות מלוו</w:t>
      </w:r>
      <w:r w:rsidR="00D60233" w:rsidRPr="00B40FAC">
        <w:rPr>
          <w:rFonts w:asciiTheme="minorBidi" w:hAnsiTheme="minorBidi"/>
          <w:rtl/>
        </w:rPr>
        <w:t>ה</w:t>
      </w:r>
      <w:r w:rsidRPr="00B40FAC">
        <w:rPr>
          <w:rFonts w:asciiTheme="minorBidi" w:hAnsiTheme="minorBidi"/>
          <w:rtl/>
        </w:rPr>
        <w:t xml:space="preserve"> </w:t>
      </w:r>
      <w:r w:rsidR="00462A84" w:rsidRPr="00B40FAC">
        <w:rPr>
          <w:rFonts w:asciiTheme="minorBidi" w:hAnsiTheme="minorBidi" w:hint="eastAsia"/>
          <w:rtl/>
        </w:rPr>
        <w:t>בתמונות</w:t>
      </w:r>
      <w:r w:rsidR="00462A84" w:rsidRPr="00B40FAC">
        <w:rPr>
          <w:rFonts w:asciiTheme="minorBidi" w:hAnsiTheme="minorBidi"/>
          <w:rtl/>
        </w:rPr>
        <w:t xml:space="preserve"> </w:t>
      </w:r>
      <w:r w:rsidR="00462A84" w:rsidRPr="00B40FAC">
        <w:rPr>
          <w:rFonts w:asciiTheme="minorBidi" w:hAnsiTheme="minorBidi" w:hint="eastAsia"/>
          <w:rtl/>
        </w:rPr>
        <w:t>ואיורים</w:t>
      </w:r>
      <w:r w:rsidR="00A01AD6" w:rsidRPr="00B40FAC">
        <w:rPr>
          <w:rFonts w:asciiTheme="minorBidi" w:hAnsiTheme="minorBidi"/>
          <w:rtl/>
        </w:rPr>
        <w:t xml:space="preserve"> (</w:t>
      </w:r>
      <w:r w:rsidR="00462A84" w:rsidRPr="00B40FAC">
        <w:rPr>
          <w:rFonts w:asciiTheme="minorBidi" w:hAnsiTheme="minorBidi" w:hint="eastAsia"/>
          <w:rtl/>
        </w:rPr>
        <w:t>בין</w:t>
      </w:r>
      <w:r w:rsidR="00462A84" w:rsidRPr="00B40FAC">
        <w:rPr>
          <w:rFonts w:asciiTheme="minorBidi" w:hAnsiTheme="minorBidi"/>
          <w:rtl/>
        </w:rPr>
        <w:t xml:space="preserve"> </w:t>
      </w:r>
      <w:r w:rsidR="00462A84" w:rsidRPr="00B40FAC">
        <w:rPr>
          <w:rFonts w:asciiTheme="minorBidi" w:hAnsiTheme="minorBidi" w:hint="eastAsia"/>
          <w:rtl/>
        </w:rPr>
        <w:t>חמישה</w:t>
      </w:r>
      <w:r w:rsidR="00462A84" w:rsidRPr="00B40FAC">
        <w:rPr>
          <w:rFonts w:asciiTheme="minorBidi" w:hAnsiTheme="minorBidi"/>
          <w:rtl/>
        </w:rPr>
        <w:t xml:space="preserve"> </w:t>
      </w:r>
      <w:r w:rsidR="00462A84" w:rsidRPr="00B40FAC">
        <w:rPr>
          <w:rFonts w:asciiTheme="minorBidi" w:hAnsiTheme="minorBidi" w:hint="eastAsia"/>
          <w:rtl/>
        </w:rPr>
        <w:t>לעשרים</w:t>
      </w:r>
      <w:r w:rsidR="00A01AD6" w:rsidRPr="00B40FAC">
        <w:rPr>
          <w:rFonts w:asciiTheme="minorBidi" w:hAnsiTheme="minorBidi"/>
          <w:rtl/>
        </w:rPr>
        <w:t>).</w:t>
      </w:r>
      <w:r w:rsidR="00E74B37" w:rsidRPr="00B40FAC">
        <w:rPr>
          <w:rFonts w:asciiTheme="minorBidi" w:hAnsiTheme="minorBidi"/>
          <w:rtl/>
        </w:rPr>
        <w:t xml:space="preserve"> </w:t>
      </w:r>
      <w:r w:rsidR="00241E5F">
        <w:rPr>
          <w:rFonts w:asciiTheme="minorBidi" w:hAnsiTheme="minorBidi" w:hint="cs"/>
          <w:rtl/>
        </w:rPr>
        <w:t>ל</w:t>
      </w:r>
      <w:r w:rsidR="00241E5F" w:rsidRPr="00241E5F">
        <w:rPr>
          <w:rtl/>
        </w:rPr>
        <w:t xml:space="preserve">כל איור יש להוסיף </w:t>
      </w:r>
      <w:r w:rsidR="00241E5F">
        <w:rPr>
          <w:rFonts w:hint="cs"/>
          <w:rtl/>
        </w:rPr>
        <w:t xml:space="preserve">כיתוב ברור, </w:t>
      </w:r>
      <w:r w:rsidR="00241E5F" w:rsidRPr="00241E5F">
        <w:rPr>
          <w:rtl/>
        </w:rPr>
        <w:t>ו</w:t>
      </w:r>
      <w:r w:rsidR="00241E5F">
        <w:rPr>
          <w:rFonts w:hint="cs"/>
          <w:rtl/>
        </w:rPr>
        <w:t>לציין</w:t>
      </w:r>
      <w:r w:rsidR="00241E5F" w:rsidRPr="00241E5F">
        <w:rPr>
          <w:rtl/>
        </w:rPr>
        <w:t xml:space="preserve"> את שם ה</w:t>
      </w:r>
      <w:r w:rsidR="00241E5F">
        <w:rPr>
          <w:rFonts w:hint="cs"/>
          <w:rtl/>
        </w:rPr>
        <w:t>צ</w:t>
      </w:r>
      <w:r w:rsidR="00241E5F" w:rsidRPr="00241E5F">
        <w:rPr>
          <w:rtl/>
        </w:rPr>
        <w:t>למים</w:t>
      </w:r>
      <w:r w:rsidR="00241E5F">
        <w:rPr>
          <w:rFonts w:hint="cs"/>
          <w:rtl/>
        </w:rPr>
        <w:t xml:space="preserve"> או </w:t>
      </w:r>
      <w:r w:rsidR="00241E5F" w:rsidRPr="00241E5F">
        <w:rPr>
          <w:rtl/>
        </w:rPr>
        <w:t>המאיירים</w:t>
      </w:r>
      <w:r w:rsidR="00241E5F">
        <w:rPr>
          <w:rFonts w:hint="cs"/>
          <w:rtl/>
        </w:rPr>
        <w:t xml:space="preserve">. אם </w:t>
      </w:r>
      <w:r w:rsidR="00241E5F" w:rsidRPr="00A74D46">
        <w:rPr>
          <w:rFonts w:hint="eastAsia"/>
          <w:rtl/>
        </w:rPr>
        <w:t>האיורים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אינם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של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המחברים</w:t>
      </w:r>
      <w:r w:rsidR="00241E5F" w:rsidRPr="00A74D46">
        <w:rPr>
          <w:rtl/>
        </w:rPr>
        <w:t xml:space="preserve">, </w:t>
      </w:r>
      <w:r w:rsidR="00241E5F" w:rsidRPr="00A74D46">
        <w:rPr>
          <w:rFonts w:hint="eastAsia"/>
          <w:rtl/>
        </w:rPr>
        <w:t>עליהם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לדאוג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מראש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לקבלת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רשות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לעשות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בהם</w:t>
      </w:r>
      <w:r w:rsidR="00241E5F" w:rsidRPr="00A74D46">
        <w:rPr>
          <w:rtl/>
        </w:rPr>
        <w:t xml:space="preserve"> </w:t>
      </w:r>
      <w:r w:rsidR="00241E5F" w:rsidRPr="00A74D46">
        <w:rPr>
          <w:rFonts w:hint="eastAsia"/>
          <w:rtl/>
        </w:rPr>
        <w:t>שימוש</w:t>
      </w:r>
      <w:r w:rsidR="00241E5F" w:rsidRPr="00A74D46">
        <w:rPr>
          <w:rtl/>
        </w:rPr>
        <w:t>.</w:t>
      </w:r>
    </w:p>
    <w:p w14:paraId="302FAA99" w14:textId="6DB202AC" w:rsidR="00AB7105" w:rsidRDefault="00497D68" w:rsidP="00B40FAC">
      <w:pPr>
        <w:pStyle w:val="ListParagraph"/>
        <w:numPr>
          <w:ilvl w:val="0"/>
          <w:numId w:val="3"/>
        </w:numPr>
        <w:bidi/>
        <w:spacing w:before="120" w:after="120" w:line="360" w:lineRule="auto"/>
      </w:pPr>
      <w:r w:rsidRPr="00A74D46">
        <w:rPr>
          <w:rtl/>
        </w:rPr>
        <w:t>על המאמרים לכלול רשימת ספרות של עד כ</w:t>
      </w:r>
      <w:r w:rsidR="00AD73AD">
        <w:rPr>
          <w:rFonts w:hint="cs"/>
          <w:rtl/>
        </w:rPr>
        <w:t>-</w:t>
      </w:r>
      <w:r w:rsidRPr="00A74D46">
        <w:rPr>
          <w:rtl/>
        </w:rPr>
        <w:t>20 פריטים</w:t>
      </w:r>
      <w:r w:rsidR="00AB7105">
        <w:rPr>
          <w:rFonts w:hint="cs"/>
          <w:rtl/>
        </w:rPr>
        <w:t>. הרשימה תובא בסוף המאמר.</w:t>
      </w:r>
    </w:p>
    <w:p w14:paraId="0558ADD4" w14:textId="2CD655E2" w:rsidR="00497D68" w:rsidRPr="00A74D46" w:rsidRDefault="00497D68" w:rsidP="00AB7105">
      <w:pPr>
        <w:pStyle w:val="ListParagraph"/>
        <w:numPr>
          <w:ilvl w:val="0"/>
          <w:numId w:val="3"/>
        </w:numPr>
        <w:bidi/>
        <w:spacing w:before="120" w:after="120" w:line="360" w:lineRule="auto"/>
        <w:rPr>
          <w:rtl/>
        </w:rPr>
      </w:pPr>
      <w:r w:rsidRPr="00A74D46">
        <w:rPr>
          <w:rtl/>
        </w:rPr>
        <w:t xml:space="preserve"> </w:t>
      </w:r>
      <w:r w:rsidR="00AB7105">
        <w:rPr>
          <w:rFonts w:hint="cs"/>
          <w:rtl/>
        </w:rPr>
        <w:t>המאמרים</w:t>
      </w:r>
      <w:r w:rsidRPr="00A74D46">
        <w:rPr>
          <w:rtl/>
        </w:rPr>
        <w:t xml:space="preserve"> יכולים לכלול </w:t>
      </w:r>
      <w:r w:rsidR="00D60233" w:rsidRPr="00A74D46">
        <w:rPr>
          <w:rtl/>
        </w:rPr>
        <w:t xml:space="preserve">גם </w:t>
      </w:r>
      <w:r w:rsidRPr="00A74D46">
        <w:rPr>
          <w:rtl/>
        </w:rPr>
        <w:t>כ</w:t>
      </w:r>
      <w:r w:rsidR="00AD73AD">
        <w:rPr>
          <w:rFonts w:hint="cs"/>
          <w:rtl/>
        </w:rPr>
        <w:t>-</w:t>
      </w:r>
      <w:r w:rsidRPr="00A74D46">
        <w:rPr>
          <w:rtl/>
        </w:rPr>
        <w:t>10</w:t>
      </w:r>
      <w:r w:rsidR="00A01AD6" w:rsidRPr="00A74D46">
        <w:rPr>
          <w:rtl/>
        </w:rPr>
        <w:t xml:space="preserve"> </w:t>
      </w:r>
      <w:r w:rsidRPr="00A74D46">
        <w:rPr>
          <w:rtl/>
        </w:rPr>
        <w:t>-</w:t>
      </w:r>
      <w:r w:rsidR="00A01AD6" w:rsidRPr="00A74D46">
        <w:rPr>
          <w:rtl/>
        </w:rPr>
        <w:t xml:space="preserve"> </w:t>
      </w:r>
      <w:r w:rsidRPr="00A74D46">
        <w:rPr>
          <w:rtl/>
        </w:rPr>
        <w:t>20 הערות שוליים (</w:t>
      </w:r>
      <w:r w:rsidR="00E74B37" w:rsidRPr="00A74D46">
        <w:rPr>
          <w:rtl/>
        </w:rPr>
        <w:t xml:space="preserve">להבאת </w:t>
      </w:r>
      <w:r w:rsidRPr="00A74D46">
        <w:rPr>
          <w:rtl/>
        </w:rPr>
        <w:t>הפניות חיוניות בלבד</w:t>
      </w:r>
      <w:r w:rsidR="00E74B37" w:rsidRPr="00A74D46">
        <w:rPr>
          <w:rtl/>
        </w:rPr>
        <w:t>, ולא</w:t>
      </w:r>
      <w:r w:rsidRPr="00A74D46">
        <w:rPr>
          <w:rtl/>
        </w:rPr>
        <w:t xml:space="preserve"> לדיון</w:t>
      </w:r>
      <w:r w:rsidR="00E672E9" w:rsidRPr="00A74D46">
        <w:rPr>
          <w:rtl/>
        </w:rPr>
        <w:t>).</w:t>
      </w:r>
      <w:r w:rsidR="00D60233" w:rsidRPr="00A74D46">
        <w:rPr>
          <w:rtl/>
        </w:rPr>
        <w:t xml:space="preserve"> </w:t>
      </w:r>
      <w:r w:rsidR="00AB7105">
        <w:rPr>
          <w:rFonts w:hint="cs"/>
          <w:rtl/>
        </w:rPr>
        <w:t>ההפניות יובאו בשם מקוצר (</w:t>
      </w:r>
      <w:r w:rsidR="000E4092" w:rsidRPr="00A74D46">
        <w:rPr>
          <w:rtl/>
        </w:rPr>
        <w:t>למשל</w:t>
      </w:r>
      <w:r w:rsidR="006043ED" w:rsidRPr="00A74D46">
        <w:rPr>
          <w:rtl/>
        </w:rPr>
        <w:t xml:space="preserve"> ברקאי תש"ס:</w:t>
      </w:r>
      <w:r w:rsidR="006043ED" w:rsidRPr="00A74D46">
        <w:t xml:space="preserve"> </w:t>
      </w:r>
      <w:r w:rsidR="006043ED" w:rsidRPr="00A74D46">
        <w:rPr>
          <w:rtl/>
        </w:rPr>
        <w:t>233; אדלשטיין, אוסישקין ודותן תשל"ב;</w:t>
      </w:r>
      <w:r w:rsidR="000E4092" w:rsidRPr="00A74D46">
        <w:rPr>
          <w:rtl/>
        </w:rPr>
        <w:t xml:space="preserve"> </w:t>
      </w:r>
      <w:r w:rsidR="006043ED" w:rsidRPr="00A74D46">
        <w:t>Stern 2001: 100</w:t>
      </w:r>
      <w:r w:rsidR="00AB7105">
        <w:rPr>
          <w:rFonts w:hint="cs"/>
          <w:rtl/>
        </w:rPr>
        <w:t xml:space="preserve">). בגוף המאמר </w:t>
      </w:r>
      <w:r w:rsidR="00AB7105" w:rsidRPr="00A74D46">
        <w:rPr>
          <w:rtl/>
        </w:rPr>
        <w:t>אין לציין הפניות למקורות משניים.</w:t>
      </w:r>
    </w:p>
    <w:p w14:paraId="0912FC8A" w14:textId="47C99C96" w:rsidR="00E74B37" w:rsidRPr="00DF56FF" w:rsidRDefault="000E4092" w:rsidP="00B40FAC">
      <w:pPr>
        <w:pStyle w:val="ListParagraph"/>
        <w:numPr>
          <w:ilvl w:val="0"/>
          <w:numId w:val="3"/>
        </w:numPr>
        <w:bidi/>
        <w:spacing w:before="120" w:after="120" w:line="360" w:lineRule="auto"/>
        <w:rPr>
          <w:rFonts w:asciiTheme="minorBidi" w:hAnsiTheme="minorBidi"/>
        </w:rPr>
      </w:pPr>
      <w:r w:rsidRPr="00DF56FF">
        <w:rPr>
          <w:rFonts w:asciiTheme="minorBidi" w:hAnsiTheme="minorBidi"/>
          <w:rtl/>
        </w:rPr>
        <w:t xml:space="preserve">הרשימה הביבליוגרפית </w:t>
      </w:r>
      <w:r w:rsidR="00E74B37" w:rsidRPr="00DF56FF">
        <w:rPr>
          <w:rFonts w:asciiTheme="minorBidi" w:hAnsiTheme="minorBidi" w:hint="cs"/>
          <w:rtl/>
        </w:rPr>
        <w:t>יכולה</w:t>
      </w:r>
      <w:r w:rsidR="00E74B37" w:rsidRPr="00DF56FF">
        <w:rPr>
          <w:rFonts w:asciiTheme="minorBidi" w:hAnsiTheme="minorBidi"/>
          <w:rtl/>
        </w:rPr>
        <w:t xml:space="preserve"> </w:t>
      </w:r>
      <w:r w:rsidRPr="00DF56FF">
        <w:rPr>
          <w:rFonts w:asciiTheme="minorBidi" w:hAnsiTheme="minorBidi"/>
          <w:rtl/>
        </w:rPr>
        <w:t>לכלול</w:t>
      </w:r>
      <w:r w:rsidR="00E74B37" w:rsidRPr="00DF56FF">
        <w:rPr>
          <w:rFonts w:asciiTheme="minorBidi" w:hAnsiTheme="minorBidi" w:hint="cs"/>
          <w:rtl/>
        </w:rPr>
        <w:t xml:space="preserve">, במקרה הצורך, מקורות נוספים מעבר לאלו </w:t>
      </w:r>
      <w:proofErr w:type="spellStart"/>
      <w:r w:rsidR="00E74B37" w:rsidRPr="00DF56FF">
        <w:rPr>
          <w:rFonts w:asciiTheme="minorBidi" w:hAnsiTheme="minorBidi" w:hint="cs"/>
          <w:rtl/>
        </w:rPr>
        <w:t>שצויינו</w:t>
      </w:r>
      <w:proofErr w:type="spellEnd"/>
      <w:r w:rsidR="00E74B37" w:rsidRPr="00DF56FF">
        <w:rPr>
          <w:rFonts w:asciiTheme="minorBidi" w:hAnsiTheme="minorBidi" w:hint="cs"/>
          <w:rtl/>
        </w:rPr>
        <w:t xml:space="preserve"> בהערות</w:t>
      </w:r>
      <w:r w:rsidR="00423EE8" w:rsidRPr="00DF56FF">
        <w:rPr>
          <w:rFonts w:asciiTheme="minorBidi" w:hAnsiTheme="minorBidi" w:hint="cs"/>
          <w:rtl/>
        </w:rPr>
        <w:t xml:space="preserve"> (לדוגמאות לכתיבת הרשימה, ראו בהמשך).</w:t>
      </w:r>
    </w:p>
    <w:p w14:paraId="1C88EEE0" w14:textId="60591D1F" w:rsidR="00F67DBF" w:rsidRPr="00DF56FF" w:rsidRDefault="00F67DBF" w:rsidP="00F67DBF">
      <w:pPr>
        <w:pStyle w:val="ListParagraph"/>
        <w:numPr>
          <w:ilvl w:val="0"/>
          <w:numId w:val="3"/>
        </w:numPr>
        <w:bidi/>
        <w:spacing w:before="120" w:after="120" w:line="360" w:lineRule="auto"/>
        <w:rPr>
          <w:rFonts w:asciiTheme="minorBidi" w:hAnsiTheme="minorBidi"/>
          <w:rtl/>
        </w:rPr>
      </w:pPr>
      <w:r w:rsidRPr="00DF56FF">
        <w:rPr>
          <w:rFonts w:asciiTheme="minorBidi" w:hAnsiTheme="minorBidi" w:hint="cs"/>
          <w:rtl/>
        </w:rPr>
        <w:t>ניתן להגיש גם מאמרים קצרים (באורך עד 1,500 מילים</w:t>
      </w:r>
      <w:r w:rsidR="00AF20DC" w:rsidRPr="00DF56FF">
        <w:rPr>
          <w:rFonts w:asciiTheme="minorBidi" w:hAnsiTheme="minorBidi" w:hint="cs"/>
          <w:rtl/>
        </w:rPr>
        <w:t>) ודיווחים</w:t>
      </w:r>
      <w:r w:rsidR="000F05CA" w:rsidRPr="00DF56FF">
        <w:rPr>
          <w:rFonts w:asciiTheme="minorBidi" w:hAnsiTheme="minorBidi" w:hint="cs"/>
          <w:rtl/>
        </w:rPr>
        <w:t xml:space="preserve"> קצרים על תגליות חדשות</w:t>
      </w:r>
      <w:r w:rsidR="00AF20DC" w:rsidRPr="00DF56FF">
        <w:rPr>
          <w:rFonts w:asciiTheme="minorBidi" w:hAnsiTheme="minorBidi" w:hint="cs"/>
          <w:rtl/>
        </w:rPr>
        <w:t xml:space="preserve"> (</w:t>
      </w:r>
      <w:r w:rsidR="00402E51">
        <w:rPr>
          <w:rFonts w:asciiTheme="minorBidi" w:hAnsiTheme="minorBidi" w:hint="cs"/>
          <w:rtl/>
        </w:rPr>
        <w:t>כ-</w:t>
      </w:r>
      <w:r w:rsidR="00AF20DC" w:rsidRPr="00DF56FF">
        <w:rPr>
          <w:rFonts w:asciiTheme="minorBidi" w:hAnsiTheme="minorBidi" w:hint="cs"/>
          <w:rtl/>
        </w:rPr>
        <w:t>500 מילים). המאמרים הקצרים יכללו כשל</w:t>
      </w:r>
      <w:r w:rsidR="00AD73AD">
        <w:rPr>
          <w:rFonts w:asciiTheme="minorBidi" w:hAnsiTheme="minorBidi" w:hint="cs"/>
          <w:rtl/>
        </w:rPr>
        <w:t>ו</w:t>
      </w:r>
      <w:r w:rsidR="00AF20DC" w:rsidRPr="00DF56FF">
        <w:rPr>
          <w:rFonts w:asciiTheme="minorBidi" w:hAnsiTheme="minorBidi" w:hint="cs"/>
          <w:rtl/>
        </w:rPr>
        <w:t xml:space="preserve">שה-ארבעה איורים, ורשימת ספרות של עד שמונה פריטים. הדיווחים יכללו איור או שניים, ובדרך כלל אינם אמורים להיות מלווים ברשימת ספרות. </w:t>
      </w:r>
    </w:p>
    <w:p w14:paraId="0EB4AAC7" w14:textId="72733479" w:rsidR="00423EE8" w:rsidRPr="00DF56FF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</w:rPr>
      </w:pPr>
      <w:r w:rsidRPr="00DF56FF">
        <w:rPr>
          <w:rFonts w:asciiTheme="minorBidi" w:hAnsiTheme="minorBidi" w:hint="cs"/>
          <w:rtl/>
        </w:rPr>
        <w:t>יש ל</w:t>
      </w:r>
      <w:r w:rsidR="005D699D">
        <w:rPr>
          <w:rFonts w:asciiTheme="minorBidi" w:hAnsiTheme="minorBidi" w:hint="cs"/>
          <w:rtl/>
        </w:rPr>
        <w:t xml:space="preserve">ציין את </w:t>
      </w:r>
      <w:r w:rsidRPr="00DF56FF">
        <w:rPr>
          <w:rFonts w:asciiTheme="minorBidi" w:hAnsiTheme="minorBidi" w:hint="cs"/>
          <w:rtl/>
        </w:rPr>
        <w:t xml:space="preserve"> התואר והשיוך המוסדי המלא (למשל: ד"ר/ </w:t>
      </w:r>
      <w:proofErr w:type="spellStart"/>
      <w:r w:rsidRPr="00DF56FF">
        <w:rPr>
          <w:rFonts w:asciiTheme="minorBidi" w:hAnsiTheme="minorBidi" w:hint="cs"/>
          <w:rtl/>
        </w:rPr>
        <w:t>פרופ</w:t>
      </w:r>
      <w:proofErr w:type="spellEnd"/>
      <w:r w:rsidRPr="00DF56FF">
        <w:rPr>
          <w:rFonts w:asciiTheme="minorBidi" w:hAnsiTheme="minorBidi" w:hint="cs"/>
          <w:rtl/>
        </w:rPr>
        <w:t>', החוג ל.. ע"ש....אוניברסיטת.../ מחוז ... רשות העתיקות)</w:t>
      </w:r>
      <w:r w:rsidR="005D699D">
        <w:rPr>
          <w:rFonts w:asciiTheme="minorBidi" w:hAnsiTheme="minorBidi" w:hint="cs"/>
          <w:rtl/>
        </w:rPr>
        <w:t xml:space="preserve"> של כל מחבר</w:t>
      </w:r>
      <w:r w:rsidRPr="00DF56FF">
        <w:rPr>
          <w:rFonts w:asciiTheme="minorBidi" w:hAnsiTheme="minorBidi" w:hint="cs"/>
          <w:rtl/>
        </w:rPr>
        <w:t>.</w:t>
      </w:r>
    </w:p>
    <w:p w14:paraId="44086058" w14:textId="77777777" w:rsidR="00423EE8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יש להימנע משימוש במונחים לועזיים, ובמידת האפשר לרשום אותם בעברית.</w:t>
      </w:r>
    </w:p>
    <w:p w14:paraId="1064F7D3" w14:textId="69389BE7" w:rsidR="00423EE8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בפעם הראשונה </w:t>
      </w:r>
      <w:r w:rsidR="001B21F4">
        <w:rPr>
          <w:rFonts w:asciiTheme="minorBidi" w:hAnsiTheme="minorBidi" w:hint="cs"/>
          <w:rtl/>
        </w:rPr>
        <w:t>ש</w:t>
      </w:r>
      <w:r>
        <w:rPr>
          <w:rFonts w:asciiTheme="minorBidi" w:hAnsiTheme="minorBidi" w:hint="cs"/>
          <w:rtl/>
        </w:rPr>
        <w:t>מוזכר שם (של חוקר, וכדו') יש לציין את האות הראשונה של השם הפרטי.</w:t>
      </w:r>
    </w:p>
    <w:p w14:paraId="0C8403B1" w14:textId="64F68235" w:rsidR="00423EE8" w:rsidRPr="00DF56FF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כשמצוינות שנה, מאה או אלף, יש להוסיף לפנה"ס או לספירה.</w:t>
      </w:r>
      <w:r w:rsidR="00BF4D2A">
        <w:rPr>
          <w:rFonts w:asciiTheme="minorBidi" w:hAnsiTheme="minorBidi" w:hint="cs"/>
          <w:rtl/>
        </w:rPr>
        <w:t xml:space="preserve"> מספר המאה </w:t>
      </w:r>
      <w:proofErr w:type="spellStart"/>
      <w:r w:rsidR="00BF4D2A">
        <w:rPr>
          <w:rFonts w:asciiTheme="minorBidi" w:hAnsiTheme="minorBidi" w:hint="cs"/>
          <w:rtl/>
        </w:rPr>
        <w:t>יצויין</w:t>
      </w:r>
      <w:proofErr w:type="spellEnd"/>
      <w:r w:rsidR="00BF4D2A">
        <w:rPr>
          <w:rFonts w:asciiTheme="minorBidi" w:hAnsiTheme="minorBidi" w:hint="cs"/>
          <w:rtl/>
        </w:rPr>
        <w:t xml:space="preserve"> באותיות (למשל המאה </w:t>
      </w:r>
      <w:proofErr w:type="spellStart"/>
      <w:r w:rsidR="00BF4D2A">
        <w:rPr>
          <w:rFonts w:asciiTheme="minorBidi" w:hAnsiTheme="minorBidi" w:hint="cs"/>
          <w:rtl/>
        </w:rPr>
        <w:t>הי"ג</w:t>
      </w:r>
      <w:proofErr w:type="spellEnd"/>
      <w:r w:rsidR="00BF4D2A" w:rsidRPr="00DF56FF">
        <w:rPr>
          <w:rFonts w:asciiTheme="minorBidi" w:hAnsiTheme="minorBidi" w:hint="cs"/>
          <w:rtl/>
        </w:rPr>
        <w:t xml:space="preserve">) ומספר האלפים </w:t>
      </w:r>
      <w:r w:rsidR="001B21F4" w:rsidRPr="00DF56FF">
        <w:rPr>
          <w:rFonts w:asciiTheme="minorBidi" w:hAnsiTheme="minorBidi" w:hint="cs"/>
          <w:rtl/>
        </w:rPr>
        <w:t>ב</w:t>
      </w:r>
      <w:r w:rsidR="00BF4D2A" w:rsidRPr="00DF56FF">
        <w:rPr>
          <w:rFonts w:asciiTheme="minorBidi" w:hAnsiTheme="minorBidi" w:hint="cs"/>
          <w:rtl/>
        </w:rPr>
        <w:t>מילה (למשל האלף השני).</w:t>
      </w:r>
    </w:p>
    <w:p w14:paraId="3F8E4CF5" w14:textId="373B5799" w:rsidR="00423EE8" w:rsidRPr="00DF56FF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</w:rPr>
      </w:pPr>
      <w:r w:rsidRPr="00DF56FF">
        <w:rPr>
          <w:rFonts w:asciiTheme="minorBidi" w:hAnsiTheme="minorBidi"/>
          <w:rtl/>
        </w:rPr>
        <w:t xml:space="preserve">יש להגיש את המאמרים כקובץ </w:t>
      </w:r>
      <w:r w:rsidRPr="00DF56FF">
        <w:rPr>
          <w:rFonts w:asciiTheme="minorBidi" w:hAnsiTheme="minorBidi"/>
        </w:rPr>
        <w:t>WORD</w:t>
      </w:r>
      <w:r w:rsidRPr="00DF56FF">
        <w:rPr>
          <w:rFonts w:asciiTheme="minorBidi" w:hAnsiTheme="minorBidi"/>
          <w:rtl/>
        </w:rPr>
        <w:t>, בפונט מקובל וברווח כפול או שורה וחצי. את האיורים יש לשלוח כקבצים נפרדים</w:t>
      </w:r>
      <w:r w:rsidRPr="00DF56FF">
        <w:rPr>
          <w:rFonts w:asciiTheme="minorBidi" w:hAnsiTheme="minorBidi" w:hint="cs"/>
          <w:rtl/>
        </w:rPr>
        <w:t xml:space="preserve"> (בפורמט </w:t>
      </w:r>
      <w:r w:rsidRPr="00DF56FF">
        <w:rPr>
          <w:rFonts w:asciiTheme="minorBidi" w:hAnsiTheme="minorBidi" w:hint="cs"/>
        </w:rPr>
        <w:t>JPG</w:t>
      </w:r>
      <w:r w:rsidRPr="00DF56FF">
        <w:rPr>
          <w:rFonts w:asciiTheme="minorBidi" w:hAnsiTheme="minorBidi" w:hint="cs"/>
          <w:rtl/>
        </w:rPr>
        <w:t xml:space="preserve"> או </w:t>
      </w:r>
      <w:r w:rsidRPr="00DF56FF">
        <w:rPr>
          <w:rFonts w:asciiTheme="minorBidi" w:hAnsiTheme="minorBidi" w:hint="cs"/>
        </w:rPr>
        <w:t>TIFF</w:t>
      </w:r>
      <w:r w:rsidRPr="00DF56FF">
        <w:rPr>
          <w:rFonts w:asciiTheme="minorBidi" w:hAnsiTheme="minorBidi" w:hint="cs"/>
          <w:rtl/>
        </w:rPr>
        <w:t>)</w:t>
      </w:r>
      <w:r w:rsidRPr="00DF56FF">
        <w:rPr>
          <w:rFonts w:asciiTheme="minorBidi" w:hAnsiTheme="minorBidi"/>
          <w:rtl/>
        </w:rPr>
        <w:t xml:space="preserve">, באיכות ראויה לפרסום. </w:t>
      </w:r>
    </w:p>
    <w:p w14:paraId="7A9C5741" w14:textId="4885B8D1" w:rsidR="00423EE8" w:rsidRPr="00DF56FF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</w:rPr>
      </w:pPr>
      <w:r w:rsidRPr="00DF56FF">
        <w:rPr>
          <w:rFonts w:asciiTheme="minorBidi" w:hAnsiTheme="minorBidi" w:hint="cs"/>
          <w:rtl/>
        </w:rPr>
        <w:t xml:space="preserve">על כל מאמר להיות מלווה </w:t>
      </w:r>
      <w:r w:rsidR="00AF20DC" w:rsidRPr="00DF56FF">
        <w:rPr>
          <w:rFonts w:asciiTheme="minorBidi" w:hAnsiTheme="minorBidi" w:hint="cs"/>
          <w:rtl/>
        </w:rPr>
        <w:t xml:space="preserve">בתרגום </w:t>
      </w:r>
      <w:r w:rsidR="00F55C10" w:rsidRPr="00DF56FF">
        <w:rPr>
          <w:rFonts w:asciiTheme="minorBidi" w:hAnsiTheme="minorBidi" w:hint="cs"/>
          <w:rtl/>
        </w:rPr>
        <w:t xml:space="preserve">לאנגלית של </w:t>
      </w:r>
      <w:r w:rsidR="00AF20DC" w:rsidRPr="00DF56FF">
        <w:rPr>
          <w:rFonts w:asciiTheme="minorBidi" w:hAnsiTheme="minorBidi" w:hint="cs"/>
          <w:rtl/>
        </w:rPr>
        <w:t>שם המאמר</w:t>
      </w:r>
      <w:r w:rsidR="000F05CA" w:rsidRPr="00DF56FF">
        <w:rPr>
          <w:rFonts w:asciiTheme="minorBidi" w:hAnsiTheme="minorBidi" w:hint="cs"/>
          <w:rtl/>
        </w:rPr>
        <w:t xml:space="preserve"> ושמות המחברים</w:t>
      </w:r>
      <w:r w:rsidR="00AF20DC" w:rsidRPr="00DF56FF">
        <w:rPr>
          <w:rFonts w:asciiTheme="minorBidi" w:hAnsiTheme="minorBidi" w:hint="cs"/>
          <w:rtl/>
        </w:rPr>
        <w:t xml:space="preserve">, וכן </w:t>
      </w:r>
      <w:r w:rsidRPr="00DF56FF">
        <w:rPr>
          <w:rFonts w:asciiTheme="minorBidi" w:hAnsiTheme="minorBidi" w:hint="cs"/>
          <w:rtl/>
        </w:rPr>
        <w:t xml:space="preserve">בתקציר עברי </w:t>
      </w:r>
      <w:r w:rsidR="005D699D" w:rsidRPr="00DF56FF">
        <w:rPr>
          <w:rFonts w:asciiTheme="minorBidi" w:hAnsiTheme="minorBidi" w:hint="cs"/>
          <w:rtl/>
        </w:rPr>
        <w:t xml:space="preserve">ואנגלי </w:t>
      </w:r>
      <w:r w:rsidRPr="00DF56FF">
        <w:rPr>
          <w:rFonts w:asciiTheme="minorBidi" w:hAnsiTheme="minorBidi" w:hint="cs"/>
          <w:rtl/>
        </w:rPr>
        <w:t xml:space="preserve">(כ-100 </w:t>
      </w:r>
      <w:r w:rsidR="005D699D">
        <w:rPr>
          <w:rFonts w:asciiTheme="minorBidi" w:hAnsiTheme="minorBidi" w:hint="cs"/>
          <w:rtl/>
        </w:rPr>
        <w:t xml:space="preserve">-150 </w:t>
      </w:r>
      <w:r w:rsidRPr="00DF56FF">
        <w:rPr>
          <w:rFonts w:asciiTheme="minorBidi" w:hAnsiTheme="minorBidi" w:hint="cs"/>
          <w:rtl/>
        </w:rPr>
        <w:t>מילים)</w:t>
      </w:r>
      <w:r w:rsidRPr="00DF56FF">
        <w:rPr>
          <w:rFonts w:asciiTheme="minorBidi" w:hAnsiTheme="minorBidi" w:hint="cs"/>
        </w:rPr>
        <w:t xml:space="preserve"> </w:t>
      </w:r>
      <w:r w:rsidRPr="00DF56FF">
        <w:rPr>
          <w:rFonts w:asciiTheme="minorBidi" w:hAnsiTheme="minorBidi" w:hint="cs"/>
          <w:rtl/>
        </w:rPr>
        <w:t xml:space="preserve">, </w:t>
      </w:r>
      <w:r w:rsidR="00AF20DC" w:rsidRPr="00DF56FF">
        <w:rPr>
          <w:rFonts w:asciiTheme="minorBidi" w:hAnsiTheme="minorBidi" w:hint="cs"/>
          <w:rtl/>
        </w:rPr>
        <w:t>ו</w:t>
      </w:r>
      <w:r w:rsidRPr="00DF56FF">
        <w:rPr>
          <w:rFonts w:asciiTheme="minorBidi" w:hAnsiTheme="minorBidi" w:hint="cs"/>
          <w:rtl/>
        </w:rPr>
        <w:t>בשש מילות מפתח בעברית ובאנגלית.</w:t>
      </w:r>
      <w:r w:rsidR="00AF20DC" w:rsidRPr="00DF56FF">
        <w:rPr>
          <w:rFonts w:asciiTheme="minorBidi" w:hAnsiTheme="minorBidi" w:hint="cs"/>
          <w:rtl/>
        </w:rPr>
        <w:t xml:space="preserve"> </w:t>
      </w:r>
      <w:r w:rsidR="000F05CA" w:rsidRPr="00DF56FF">
        <w:rPr>
          <w:rFonts w:asciiTheme="minorBidi" w:hAnsiTheme="minorBidi" w:hint="cs"/>
          <w:rtl/>
        </w:rPr>
        <w:t>הדיווחים הקצרים פטורים מהתקצירים.</w:t>
      </w:r>
    </w:p>
    <w:p w14:paraId="2EA5ACB3" w14:textId="572B9831" w:rsidR="00423EE8" w:rsidRPr="00822B65" w:rsidRDefault="00423EE8" w:rsidP="00423EE8">
      <w:pPr>
        <w:pStyle w:val="ListParagraph"/>
        <w:numPr>
          <w:ilvl w:val="0"/>
          <w:numId w:val="2"/>
        </w:numPr>
        <w:bidi/>
        <w:spacing w:before="120" w:after="12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דוגמאות לפריטים ביבליוגרפיים:</w:t>
      </w:r>
    </w:p>
    <w:p w14:paraId="53D744C5" w14:textId="77777777" w:rsidR="00083BD8" w:rsidRPr="00462A84" w:rsidRDefault="00083BD8" w:rsidP="00A74D46">
      <w:pPr>
        <w:bidi/>
        <w:spacing w:before="120" w:after="120" w:line="360" w:lineRule="auto"/>
        <w:ind w:firstLine="720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 xml:space="preserve">אדלשטיין, ג', ד' אוסישקין, וט' ודותן, תשל"ב, בית הקברות של תל </w:t>
      </w:r>
      <w:proofErr w:type="spellStart"/>
      <w:r w:rsidRPr="00462A84">
        <w:rPr>
          <w:rFonts w:asciiTheme="minorBidi" w:hAnsiTheme="minorBidi"/>
          <w:rtl/>
        </w:rPr>
        <w:t>עיטון</w:t>
      </w:r>
      <w:proofErr w:type="spellEnd"/>
      <w:r w:rsidRPr="00462A84">
        <w:rPr>
          <w:rFonts w:asciiTheme="minorBidi" w:hAnsiTheme="minorBidi"/>
          <w:rtl/>
        </w:rPr>
        <w:t xml:space="preserve">. </w:t>
      </w:r>
      <w:r w:rsidRPr="00462A84">
        <w:rPr>
          <w:rFonts w:asciiTheme="minorBidi" w:hAnsiTheme="minorBidi"/>
          <w:i/>
          <w:iCs/>
          <w:rtl/>
        </w:rPr>
        <w:t>קדמוניות</w:t>
      </w:r>
      <w:r w:rsidRPr="00462A84">
        <w:rPr>
          <w:rFonts w:asciiTheme="minorBidi" w:hAnsiTheme="minorBidi"/>
          <w:rtl/>
        </w:rPr>
        <w:t xml:space="preserve"> 15:</w:t>
      </w:r>
      <w:r w:rsidRPr="00462A84">
        <w:rPr>
          <w:rFonts w:asciiTheme="minorBidi" w:hAnsiTheme="minorBidi"/>
        </w:rPr>
        <w:t xml:space="preserve"> </w:t>
      </w:r>
      <w:r w:rsidRPr="00462A84">
        <w:rPr>
          <w:rFonts w:asciiTheme="minorBidi" w:hAnsiTheme="minorBidi"/>
          <w:rtl/>
        </w:rPr>
        <w:t xml:space="preserve">86 – 90. </w:t>
      </w:r>
    </w:p>
    <w:p w14:paraId="04761369" w14:textId="77777777" w:rsidR="00E672E9" w:rsidRPr="00462A84" w:rsidRDefault="00E672E9" w:rsidP="00A74D46">
      <w:pPr>
        <w:bidi/>
        <w:spacing w:before="120" w:after="120" w:line="360" w:lineRule="auto"/>
        <w:ind w:firstLine="720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lastRenderedPageBreak/>
        <w:t xml:space="preserve">בן-תור, א', תשע"ה, </w:t>
      </w:r>
      <w:r w:rsidRPr="00462A84">
        <w:rPr>
          <w:rFonts w:asciiTheme="minorBidi" w:hAnsiTheme="minorBidi"/>
          <w:i/>
          <w:iCs/>
          <w:rtl/>
        </w:rPr>
        <w:t>חצור:</w:t>
      </w:r>
      <w:r w:rsidRPr="00462A84">
        <w:rPr>
          <w:rFonts w:asciiTheme="minorBidi" w:hAnsiTheme="minorBidi"/>
          <w:i/>
          <w:iCs/>
        </w:rPr>
        <w:t xml:space="preserve"> </w:t>
      </w:r>
      <w:r w:rsidRPr="00462A84">
        <w:rPr>
          <w:rFonts w:asciiTheme="minorBidi" w:hAnsiTheme="minorBidi"/>
          <w:i/>
          <w:iCs/>
          <w:rtl/>
        </w:rPr>
        <w:t>מטרופולין כנענית ועיר ישראלית</w:t>
      </w:r>
      <w:r w:rsidRPr="00462A84">
        <w:rPr>
          <w:rFonts w:asciiTheme="minorBidi" w:hAnsiTheme="minorBidi"/>
          <w:rtl/>
        </w:rPr>
        <w:t>, ירושלים.</w:t>
      </w:r>
    </w:p>
    <w:p w14:paraId="40D34E74" w14:textId="2D84C5A5" w:rsidR="006043ED" w:rsidRPr="00462A84" w:rsidRDefault="006043ED" w:rsidP="00A74D46">
      <w:pPr>
        <w:bidi/>
        <w:spacing w:before="120" w:after="120" w:line="360" w:lineRule="auto"/>
        <w:ind w:left="720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 xml:space="preserve">ברקאי, ג', תש"ס, בתי הקברות של ירושלים בימי הבית הראשון. בתוך: ש' אחיטוב וע' מזר (עורכים), </w:t>
      </w:r>
      <w:r w:rsidRPr="00462A84">
        <w:rPr>
          <w:rFonts w:asciiTheme="minorBidi" w:hAnsiTheme="minorBidi"/>
          <w:i/>
          <w:iCs/>
          <w:rtl/>
        </w:rPr>
        <w:t>ספר ירושלים, תקופת המקרא</w:t>
      </w:r>
      <w:r w:rsidRPr="00462A84">
        <w:rPr>
          <w:rFonts w:asciiTheme="minorBidi" w:hAnsiTheme="minorBidi"/>
          <w:rtl/>
        </w:rPr>
        <w:t>, ירושלים, עמ' 270-233.</w:t>
      </w:r>
    </w:p>
    <w:p w14:paraId="05759189" w14:textId="6090C1D0" w:rsidR="006043ED" w:rsidRPr="00462A84" w:rsidRDefault="006043ED" w:rsidP="00224FDD">
      <w:pPr>
        <w:spacing w:before="120" w:after="120" w:line="360" w:lineRule="auto"/>
        <w:ind w:right="429"/>
        <w:rPr>
          <w:rFonts w:asciiTheme="minorBidi" w:hAnsiTheme="minorBidi"/>
        </w:rPr>
      </w:pPr>
      <w:proofErr w:type="spellStart"/>
      <w:r w:rsidRPr="00462A84">
        <w:rPr>
          <w:rFonts w:asciiTheme="minorBidi" w:hAnsiTheme="minorBidi"/>
        </w:rPr>
        <w:t>Liphschits</w:t>
      </w:r>
      <w:proofErr w:type="spellEnd"/>
      <w:r w:rsidRPr="00462A84">
        <w:rPr>
          <w:rFonts w:asciiTheme="minorBidi" w:hAnsiTheme="minorBidi"/>
        </w:rPr>
        <w:t xml:space="preserve">, N. and G. </w:t>
      </w:r>
      <w:proofErr w:type="spellStart"/>
      <w:r w:rsidRPr="00462A84">
        <w:rPr>
          <w:rFonts w:asciiTheme="minorBidi" w:hAnsiTheme="minorBidi"/>
        </w:rPr>
        <w:t>Biger</w:t>
      </w:r>
      <w:proofErr w:type="spellEnd"/>
      <w:r w:rsidRPr="00462A84">
        <w:rPr>
          <w:rFonts w:asciiTheme="minorBidi" w:hAnsiTheme="minorBidi"/>
        </w:rPr>
        <w:t>, 1991, Cedar of Lebanon (</w:t>
      </w:r>
      <w:proofErr w:type="spellStart"/>
      <w:r w:rsidRPr="00462A84">
        <w:rPr>
          <w:rFonts w:asciiTheme="minorBidi" w:hAnsiTheme="minorBidi"/>
          <w:i/>
          <w:iCs/>
        </w:rPr>
        <w:t>Cedrus</w:t>
      </w:r>
      <w:proofErr w:type="spellEnd"/>
      <w:r w:rsidRPr="00462A84">
        <w:rPr>
          <w:rFonts w:asciiTheme="minorBidi" w:hAnsiTheme="minorBidi"/>
          <w:i/>
          <w:iCs/>
        </w:rPr>
        <w:t xml:space="preserve"> </w:t>
      </w:r>
      <w:proofErr w:type="spellStart"/>
      <w:r w:rsidRPr="00462A84">
        <w:rPr>
          <w:rFonts w:asciiTheme="minorBidi" w:hAnsiTheme="minorBidi"/>
          <w:i/>
          <w:iCs/>
        </w:rPr>
        <w:t>Libani</w:t>
      </w:r>
      <w:proofErr w:type="spellEnd"/>
      <w:r w:rsidRPr="00462A84">
        <w:rPr>
          <w:rFonts w:asciiTheme="minorBidi" w:hAnsiTheme="minorBidi"/>
        </w:rPr>
        <w:t xml:space="preserve">) in Israel during Antiquity, </w:t>
      </w:r>
      <w:r w:rsidRPr="00462A84">
        <w:rPr>
          <w:rFonts w:asciiTheme="minorBidi" w:hAnsiTheme="minorBidi"/>
          <w:i/>
          <w:iCs/>
        </w:rPr>
        <w:t>Israel Exploration Journal</w:t>
      </w:r>
      <w:r w:rsidRPr="00462A84">
        <w:rPr>
          <w:rFonts w:asciiTheme="minorBidi" w:hAnsiTheme="minorBidi"/>
        </w:rPr>
        <w:t xml:space="preserve"> 41</w:t>
      </w:r>
      <w:r w:rsidR="00423EE8">
        <w:rPr>
          <w:rFonts w:asciiTheme="minorBidi" w:hAnsiTheme="minorBidi"/>
        </w:rPr>
        <w:t>:</w:t>
      </w:r>
      <w:r w:rsidRPr="00462A84">
        <w:rPr>
          <w:rFonts w:asciiTheme="minorBidi" w:hAnsiTheme="minorBidi"/>
        </w:rPr>
        <w:t xml:space="preserve"> 167 – 175.</w:t>
      </w:r>
    </w:p>
    <w:p w14:paraId="0A5CDCA3" w14:textId="77777777" w:rsidR="006043ED" w:rsidRPr="00462A84" w:rsidRDefault="006043ED" w:rsidP="00A74D46">
      <w:pPr>
        <w:spacing w:before="120" w:after="120" w:line="360" w:lineRule="auto"/>
        <w:ind w:right="429"/>
        <w:rPr>
          <w:rFonts w:asciiTheme="minorBidi" w:hAnsiTheme="minorBidi"/>
          <w:rtl/>
        </w:rPr>
      </w:pPr>
      <w:r w:rsidRPr="00462A84">
        <w:rPr>
          <w:rFonts w:asciiTheme="minorBidi" w:hAnsiTheme="minorBidi"/>
        </w:rPr>
        <w:t xml:space="preserve">Stern, E., 2001, </w:t>
      </w:r>
      <w:r w:rsidRPr="00462A84">
        <w:rPr>
          <w:rFonts w:asciiTheme="minorBidi" w:hAnsiTheme="minorBidi"/>
          <w:i/>
          <w:iCs/>
        </w:rPr>
        <w:t xml:space="preserve">Archaeology of the Land of the Bible: The Assyrian, </w:t>
      </w:r>
      <w:proofErr w:type="gramStart"/>
      <w:r w:rsidRPr="00462A84">
        <w:rPr>
          <w:rFonts w:asciiTheme="minorBidi" w:hAnsiTheme="minorBidi"/>
          <w:i/>
          <w:iCs/>
        </w:rPr>
        <w:t>Babylonian</w:t>
      </w:r>
      <w:proofErr w:type="gramEnd"/>
      <w:r w:rsidRPr="00462A84">
        <w:rPr>
          <w:rFonts w:asciiTheme="minorBidi" w:hAnsiTheme="minorBidi"/>
          <w:i/>
          <w:iCs/>
        </w:rPr>
        <w:t xml:space="preserve"> and Persian Periods (732–332 B.C.E),</w:t>
      </w:r>
      <w:r w:rsidRPr="00462A84">
        <w:rPr>
          <w:rFonts w:asciiTheme="minorBidi" w:hAnsiTheme="minorBidi"/>
        </w:rPr>
        <w:t xml:space="preserve"> New York.</w:t>
      </w:r>
    </w:p>
    <w:p w14:paraId="2788FE9B" w14:textId="35A9829D" w:rsidR="006043ED" w:rsidRPr="00462A84" w:rsidRDefault="006043ED" w:rsidP="00A74D46">
      <w:pPr>
        <w:bidi/>
        <w:spacing w:before="120" w:after="120" w:line="360" w:lineRule="auto"/>
        <w:ind w:left="720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 xml:space="preserve">כאשר יש </w:t>
      </w:r>
      <w:r w:rsidR="00423EE8">
        <w:rPr>
          <w:rFonts w:asciiTheme="minorBidi" w:hAnsiTheme="minorBidi" w:hint="cs"/>
          <w:rtl/>
        </w:rPr>
        <w:t xml:space="preserve">לפריט </w:t>
      </w:r>
      <w:r w:rsidRPr="00462A84">
        <w:rPr>
          <w:rFonts w:asciiTheme="minorBidi" w:hAnsiTheme="minorBidi"/>
          <w:rtl/>
        </w:rPr>
        <w:t xml:space="preserve">יותר משלשה </w:t>
      </w:r>
      <w:r w:rsidR="00A01AD6">
        <w:rPr>
          <w:rFonts w:asciiTheme="minorBidi" w:hAnsiTheme="minorBidi" w:hint="cs"/>
          <w:rtl/>
        </w:rPr>
        <w:t>מחברים</w:t>
      </w:r>
      <w:r w:rsidRPr="00462A84">
        <w:rPr>
          <w:rFonts w:asciiTheme="minorBidi" w:hAnsiTheme="minorBidi"/>
          <w:rtl/>
        </w:rPr>
        <w:t xml:space="preserve">, יש </w:t>
      </w:r>
      <w:r w:rsidR="00E672E9" w:rsidRPr="00462A84">
        <w:rPr>
          <w:rFonts w:asciiTheme="minorBidi" w:hAnsiTheme="minorBidi"/>
          <w:rtl/>
        </w:rPr>
        <w:t>לציין</w:t>
      </w:r>
      <w:r w:rsidRPr="00462A84">
        <w:rPr>
          <w:rFonts w:asciiTheme="minorBidi" w:hAnsiTheme="minorBidi"/>
          <w:rtl/>
        </w:rPr>
        <w:t xml:space="preserve"> </w:t>
      </w:r>
      <w:r w:rsidR="00AD73AD">
        <w:rPr>
          <w:rFonts w:asciiTheme="minorBidi" w:hAnsiTheme="minorBidi" w:hint="cs"/>
          <w:rtl/>
        </w:rPr>
        <w:t>בהערת השוליים</w:t>
      </w:r>
      <w:r w:rsidR="00AD73AD" w:rsidRPr="00462A84">
        <w:rPr>
          <w:rFonts w:asciiTheme="minorBidi" w:hAnsiTheme="minorBidi"/>
          <w:rtl/>
        </w:rPr>
        <w:t xml:space="preserve"> </w:t>
      </w:r>
      <w:r w:rsidRPr="00462A84">
        <w:rPr>
          <w:rFonts w:asciiTheme="minorBidi" w:hAnsiTheme="minorBidi"/>
          <w:rtl/>
        </w:rPr>
        <w:t xml:space="preserve">את </w:t>
      </w:r>
      <w:r w:rsidR="00637C65">
        <w:rPr>
          <w:rFonts w:asciiTheme="minorBidi" w:hAnsiTheme="minorBidi" w:hint="cs"/>
          <w:rtl/>
        </w:rPr>
        <w:t>השם</w:t>
      </w:r>
      <w:r w:rsidRPr="00462A84">
        <w:rPr>
          <w:rFonts w:asciiTheme="minorBidi" w:hAnsiTheme="minorBidi"/>
          <w:rtl/>
        </w:rPr>
        <w:t xml:space="preserve"> הראשון, ואז "ואחרים", אך ברשימה</w:t>
      </w:r>
      <w:r w:rsidR="00E672E9" w:rsidRPr="00462A84">
        <w:rPr>
          <w:rFonts w:asciiTheme="minorBidi" w:hAnsiTheme="minorBidi"/>
          <w:rtl/>
        </w:rPr>
        <w:t xml:space="preserve"> בסוף המאמר</w:t>
      </w:r>
      <w:r w:rsidRPr="00462A84">
        <w:rPr>
          <w:rFonts w:asciiTheme="minorBidi" w:hAnsiTheme="minorBidi"/>
          <w:rtl/>
        </w:rPr>
        <w:t xml:space="preserve"> יש להביא את שמות כל המחברים (</w:t>
      </w:r>
      <w:r w:rsidR="00E672E9" w:rsidRPr="00462A84">
        <w:rPr>
          <w:rFonts w:asciiTheme="minorBidi" w:hAnsiTheme="minorBidi"/>
          <w:rtl/>
        </w:rPr>
        <w:t xml:space="preserve">רק </w:t>
      </w:r>
      <w:r w:rsidRPr="00462A84">
        <w:rPr>
          <w:rFonts w:asciiTheme="minorBidi" w:hAnsiTheme="minorBidi"/>
          <w:rtl/>
        </w:rPr>
        <w:t>עד 20</w:t>
      </w:r>
      <w:r w:rsidR="00E74B37">
        <w:rPr>
          <w:rFonts w:asciiTheme="minorBidi" w:hAnsiTheme="minorBidi" w:hint="cs"/>
          <w:rtl/>
        </w:rPr>
        <w:t xml:space="preserve"> מחברים</w:t>
      </w:r>
      <w:r w:rsidRPr="00462A84">
        <w:rPr>
          <w:rFonts w:asciiTheme="minorBidi" w:hAnsiTheme="minorBidi"/>
          <w:rtl/>
        </w:rPr>
        <w:t xml:space="preserve">, </w:t>
      </w:r>
      <w:r w:rsidR="00637C65">
        <w:rPr>
          <w:rFonts w:asciiTheme="minorBidi" w:hAnsiTheme="minorBidi" w:hint="cs"/>
          <w:rtl/>
        </w:rPr>
        <w:t xml:space="preserve">אפילו אם </w:t>
      </w:r>
      <w:r w:rsidRPr="00462A84">
        <w:rPr>
          <w:rFonts w:asciiTheme="minorBidi" w:hAnsiTheme="minorBidi"/>
          <w:rtl/>
        </w:rPr>
        <w:t>יש יותר).</w:t>
      </w:r>
    </w:p>
    <w:p w14:paraId="4D9C4C49" w14:textId="5FEE12BA" w:rsidR="005F2454" w:rsidRDefault="005F2454" w:rsidP="00A74D46">
      <w:pPr>
        <w:bidi/>
        <w:spacing w:before="120" w:after="120" w:line="360" w:lineRule="auto"/>
        <w:ind w:left="720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>כאשר מצוינים פריטים שחורגים מהתבנית שהוצגה בדוגמאות יש להשתדל להיצמד לקווים הכלליים בדוגמאות שפורטו ולספק את המידע הנדרש, והם יתוקנו בשלב העריכה.</w:t>
      </w:r>
    </w:p>
    <w:p w14:paraId="04AFA16B" w14:textId="77777777" w:rsidR="00423EE8" w:rsidRPr="00462A84" w:rsidRDefault="00423EE8" w:rsidP="00423EE8">
      <w:pPr>
        <w:bidi/>
        <w:spacing w:before="120" w:after="120" w:line="360" w:lineRule="auto"/>
        <w:ind w:left="720"/>
        <w:rPr>
          <w:rFonts w:asciiTheme="minorBidi" w:hAnsiTheme="minorBidi"/>
          <w:rtl/>
        </w:rPr>
      </w:pPr>
    </w:p>
    <w:p w14:paraId="039CDCF1" w14:textId="5878AD4A" w:rsidR="00F5598B" w:rsidRPr="001A2411" w:rsidRDefault="00F5598B" w:rsidP="00462A84">
      <w:pPr>
        <w:bidi/>
        <w:spacing w:before="120" w:after="120" w:line="360" w:lineRule="auto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>את המאמרים יש לשלוח</w:t>
      </w:r>
      <w:r w:rsidR="00D13D11">
        <w:rPr>
          <w:rFonts w:asciiTheme="minorBidi" w:hAnsiTheme="minorBidi" w:hint="cs"/>
          <w:rtl/>
        </w:rPr>
        <w:t xml:space="preserve"> </w:t>
      </w:r>
      <w:r w:rsidR="00822B65">
        <w:rPr>
          <w:rFonts w:asciiTheme="minorBidi" w:hAnsiTheme="minorBidi" w:hint="cs"/>
          <w:rtl/>
        </w:rPr>
        <w:t xml:space="preserve">למערכת קדמוניות, </w:t>
      </w:r>
      <w:r w:rsidRPr="00462A84">
        <w:rPr>
          <w:rFonts w:asciiTheme="minorBidi" w:hAnsiTheme="minorBidi"/>
          <w:rtl/>
        </w:rPr>
        <w:t xml:space="preserve">לכתובת האימייל הבאה: </w:t>
      </w:r>
      <w:hyperlink r:id="rId5" w:history="1">
        <w:r w:rsidR="003D7293" w:rsidRPr="001A2411">
          <w:rPr>
            <w:rStyle w:val="Hyperlink"/>
            <w:rFonts w:asciiTheme="minorBidi" w:hAnsiTheme="minorBidi"/>
            <w:color w:val="auto"/>
            <w:u w:val="none"/>
          </w:rPr>
          <w:t>Qadmoniot.ies@gmail.com</w:t>
        </w:r>
      </w:hyperlink>
      <w:r w:rsidR="001A2411" w:rsidRPr="001A2411">
        <w:rPr>
          <w:rStyle w:val="Hyperlink"/>
          <w:rFonts w:asciiTheme="minorBidi" w:hAnsiTheme="minorBidi" w:hint="cs"/>
          <w:color w:val="auto"/>
          <w:u w:val="none"/>
          <w:rtl/>
        </w:rPr>
        <w:t xml:space="preserve"> (במידת הצורך ניתן לשלוח את האיורים דרך </w:t>
      </w:r>
      <w:r w:rsidR="001A2411" w:rsidRPr="001A2411">
        <w:rPr>
          <w:rStyle w:val="Hyperlink"/>
          <w:rFonts w:asciiTheme="minorBidi" w:hAnsiTheme="minorBidi"/>
          <w:color w:val="auto"/>
          <w:u w:val="none"/>
        </w:rPr>
        <w:t>wetransfer.com</w:t>
      </w:r>
      <w:r w:rsidR="001A2411" w:rsidRPr="001A2411">
        <w:rPr>
          <w:rStyle w:val="Hyperlink"/>
          <w:rFonts w:asciiTheme="minorBidi" w:hAnsiTheme="minorBidi" w:hint="cs"/>
          <w:color w:val="auto"/>
          <w:u w:val="none"/>
          <w:rtl/>
        </w:rPr>
        <w:t xml:space="preserve"> או פלטפורמה דומה). </w:t>
      </w:r>
    </w:p>
    <w:p w14:paraId="02C39CD5" w14:textId="4567AC2F" w:rsidR="00E672E9" w:rsidRPr="00462A84" w:rsidRDefault="00E672E9" w:rsidP="00E74B37">
      <w:pPr>
        <w:bidi/>
        <w:spacing w:before="120" w:after="120" w:line="360" w:lineRule="auto"/>
        <w:rPr>
          <w:rFonts w:asciiTheme="minorBidi" w:hAnsiTheme="minorBidi"/>
        </w:rPr>
      </w:pPr>
      <w:r w:rsidRPr="00462A84">
        <w:rPr>
          <w:rFonts w:asciiTheme="minorBidi" w:hAnsiTheme="minorBidi"/>
          <w:rtl/>
        </w:rPr>
        <w:t>בכל שאלה ניתן לפנות לעורכים</w:t>
      </w:r>
      <w:r w:rsidR="00803C44">
        <w:rPr>
          <w:rFonts w:asciiTheme="minorBidi" w:hAnsiTheme="minorBidi" w:hint="cs"/>
          <w:rtl/>
        </w:rPr>
        <w:t xml:space="preserve">, </w:t>
      </w:r>
      <w:r w:rsidR="00803C44" w:rsidRPr="00E74B37">
        <w:rPr>
          <w:rFonts w:asciiTheme="minorBidi" w:hAnsiTheme="minorBidi" w:hint="eastAsia"/>
          <w:rtl/>
        </w:rPr>
        <w:t>ו</w:t>
      </w:r>
      <w:r w:rsidRPr="00E74B37">
        <w:rPr>
          <w:rFonts w:asciiTheme="minorBidi" w:hAnsiTheme="minorBidi"/>
          <w:rtl/>
        </w:rPr>
        <w:t>בכל הקשור לתהליך ההפקה ניתן לפנות למרכזת המערכת, רונה אבישר</w:t>
      </w:r>
      <w:r w:rsidR="00AD73AD">
        <w:rPr>
          <w:rFonts w:asciiTheme="minorBidi" w:hAnsiTheme="minorBidi" w:hint="cs"/>
          <w:rtl/>
        </w:rPr>
        <w:t xml:space="preserve"> </w:t>
      </w:r>
      <w:r w:rsidR="00803C44">
        <w:rPr>
          <w:rFonts w:asciiTheme="minorBidi" w:hAnsiTheme="minorBidi" w:hint="cs"/>
          <w:rtl/>
        </w:rPr>
        <w:t>לואיס</w:t>
      </w:r>
      <w:r w:rsidRPr="00E74B37">
        <w:rPr>
          <w:rFonts w:asciiTheme="minorBidi" w:hAnsiTheme="minorBidi"/>
          <w:rtl/>
        </w:rPr>
        <w:t>.</w:t>
      </w:r>
    </w:p>
    <w:p w14:paraId="256455AF" w14:textId="77777777" w:rsidR="00F5598B" w:rsidRPr="00462A84" w:rsidRDefault="00F5598B" w:rsidP="00E74B37">
      <w:pPr>
        <w:bidi/>
        <w:spacing w:before="120" w:after="120" w:line="360" w:lineRule="auto"/>
        <w:ind w:left="6480"/>
        <w:rPr>
          <w:rFonts w:asciiTheme="minorBidi" w:hAnsiTheme="minorBidi"/>
          <w:rtl/>
        </w:rPr>
      </w:pPr>
      <w:r w:rsidRPr="00462A84">
        <w:rPr>
          <w:rFonts w:asciiTheme="minorBidi" w:hAnsiTheme="minorBidi"/>
          <w:rtl/>
        </w:rPr>
        <w:t>בברכה,</w:t>
      </w:r>
    </w:p>
    <w:p w14:paraId="1537E28C" w14:textId="4A3367FD" w:rsidR="00F5598B" w:rsidRDefault="00803C44" w:rsidP="00E74B37">
      <w:pPr>
        <w:bidi/>
        <w:spacing w:before="120" w:after="120" w:line="360" w:lineRule="auto"/>
        <w:ind w:left="648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עורכי קדמוניות</w:t>
      </w:r>
    </w:p>
    <w:p w14:paraId="21389F77" w14:textId="47DA66D0" w:rsidR="00803C44" w:rsidRDefault="00803C44" w:rsidP="00E74B37">
      <w:pPr>
        <w:bidi/>
        <w:spacing w:before="120" w:after="120" w:line="360" w:lineRule="auto"/>
        <w:ind w:left="648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אבי </w:t>
      </w:r>
      <w:proofErr w:type="spellStart"/>
      <w:r>
        <w:rPr>
          <w:rFonts w:asciiTheme="minorBidi" w:hAnsiTheme="minorBidi" w:hint="cs"/>
          <w:rtl/>
        </w:rPr>
        <w:t>פאוסט</w:t>
      </w:r>
      <w:proofErr w:type="spellEnd"/>
      <w:r>
        <w:rPr>
          <w:rFonts w:asciiTheme="minorBidi" w:hAnsiTheme="minorBidi" w:hint="cs"/>
          <w:rtl/>
        </w:rPr>
        <w:t xml:space="preserve"> ועדי ארליך</w:t>
      </w:r>
    </w:p>
    <w:p w14:paraId="489C25B8" w14:textId="77777777" w:rsidR="00803C44" w:rsidRPr="00462A84" w:rsidRDefault="00803C44" w:rsidP="00803C44">
      <w:pPr>
        <w:bidi/>
        <w:spacing w:before="120" w:after="120" w:line="360" w:lineRule="auto"/>
        <w:jc w:val="right"/>
        <w:rPr>
          <w:rFonts w:asciiTheme="minorBidi" w:hAnsiTheme="minorBidi"/>
        </w:rPr>
      </w:pPr>
    </w:p>
    <w:p w14:paraId="1BFADE08" w14:textId="77777777" w:rsidR="006043ED" w:rsidRPr="00462A84" w:rsidRDefault="006043ED" w:rsidP="00462A84">
      <w:pPr>
        <w:spacing w:before="120" w:after="120" w:line="360" w:lineRule="auto"/>
        <w:jc w:val="both"/>
        <w:rPr>
          <w:rFonts w:asciiTheme="minorBidi" w:hAnsiTheme="minorBidi"/>
        </w:rPr>
      </w:pPr>
    </w:p>
    <w:p w14:paraId="0224877A" w14:textId="77777777" w:rsidR="00BB340A" w:rsidRPr="00462A84" w:rsidRDefault="00BB340A" w:rsidP="00462A84">
      <w:pPr>
        <w:spacing w:before="120" w:after="120" w:line="360" w:lineRule="auto"/>
        <w:rPr>
          <w:rFonts w:asciiTheme="minorBidi" w:hAnsiTheme="minorBidi"/>
        </w:rPr>
      </w:pPr>
    </w:p>
    <w:sectPr w:rsidR="00BB340A" w:rsidRPr="00462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AD4"/>
    <w:multiLevelType w:val="hybridMultilevel"/>
    <w:tmpl w:val="D332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3B5"/>
    <w:multiLevelType w:val="hybridMultilevel"/>
    <w:tmpl w:val="F2D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90D"/>
    <w:multiLevelType w:val="hybridMultilevel"/>
    <w:tmpl w:val="73D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09222">
    <w:abstractNumId w:val="0"/>
  </w:num>
  <w:num w:numId="2" w16cid:durableId="1389956012">
    <w:abstractNumId w:val="1"/>
  </w:num>
  <w:num w:numId="3" w16cid:durableId="1309751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68"/>
    <w:rsid w:val="00083BD8"/>
    <w:rsid w:val="000E4092"/>
    <w:rsid w:val="000F05CA"/>
    <w:rsid w:val="001714C2"/>
    <w:rsid w:val="00184AB7"/>
    <w:rsid w:val="001A2411"/>
    <w:rsid w:val="001B21F4"/>
    <w:rsid w:val="00206332"/>
    <w:rsid w:val="00224FDD"/>
    <w:rsid w:val="00241E5F"/>
    <w:rsid w:val="00277D32"/>
    <w:rsid w:val="003D7293"/>
    <w:rsid w:val="00402E51"/>
    <w:rsid w:val="00423EE8"/>
    <w:rsid w:val="00457C01"/>
    <w:rsid w:val="00462A84"/>
    <w:rsid w:val="00497D68"/>
    <w:rsid w:val="004C5F08"/>
    <w:rsid w:val="005D699D"/>
    <w:rsid w:val="005F2454"/>
    <w:rsid w:val="006043ED"/>
    <w:rsid w:val="00630A87"/>
    <w:rsid w:val="00637C65"/>
    <w:rsid w:val="00732E0C"/>
    <w:rsid w:val="00803C44"/>
    <w:rsid w:val="00822B65"/>
    <w:rsid w:val="00897E00"/>
    <w:rsid w:val="0097303F"/>
    <w:rsid w:val="009E51A9"/>
    <w:rsid w:val="009E5A47"/>
    <w:rsid w:val="00A01AD6"/>
    <w:rsid w:val="00A74D46"/>
    <w:rsid w:val="00A84907"/>
    <w:rsid w:val="00AB7105"/>
    <w:rsid w:val="00AD73AD"/>
    <w:rsid w:val="00AF20DC"/>
    <w:rsid w:val="00B058F5"/>
    <w:rsid w:val="00B23F75"/>
    <w:rsid w:val="00B40FAC"/>
    <w:rsid w:val="00B83B4B"/>
    <w:rsid w:val="00B876F3"/>
    <w:rsid w:val="00BB340A"/>
    <w:rsid w:val="00BF4D2A"/>
    <w:rsid w:val="00C36ACA"/>
    <w:rsid w:val="00C910F8"/>
    <w:rsid w:val="00C97103"/>
    <w:rsid w:val="00CC2DDF"/>
    <w:rsid w:val="00CC31D5"/>
    <w:rsid w:val="00D13D11"/>
    <w:rsid w:val="00D60233"/>
    <w:rsid w:val="00D66B16"/>
    <w:rsid w:val="00DF56FF"/>
    <w:rsid w:val="00E60497"/>
    <w:rsid w:val="00E672E9"/>
    <w:rsid w:val="00E74B37"/>
    <w:rsid w:val="00F5598B"/>
    <w:rsid w:val="00F55C10"/>
    <w:rsid w:val="00F67DBF"/>
    <w:rsid w:val="00FB7080"/>
    <w:rsid w:val="00FC73D7"/>
    <w:rsid w:val="00FE7374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E95C"/>
  <w15:chartTrackingRefBased/>
  <w15:docId w15:val="{0CF9A1A8-5C99-46A7-9597-1FF29F6F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9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9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4F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Manuel Cimadevilla</cp:lastModifiedBy>
  <cp:revision>2</cp:revision>
  <cp:lastPrinted>2022-12-21T17:08:00Z</cp:lastPrinted>
  <dcterms:created xsi:type="dcterms:W3CDTF">2022-12-21T17:11:00Z</dcterms:created>
  <dcterms:modified xsi:type="dcterms:W3CDTF">2022-12-21T17:11:00Z</dcterms:modified>
</cp:coreProperties>
</file>